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D60EC" w14:textId="553BC235" w:rsidR="005D5CE6" w:rsidRDefault="005D5CE6" w:rsidP="00E12853">
      <w:pPr>
        <w:pStyle w:val="Titre1"/>
        <w:rPr>
          <w:rFonts w:eastAsia="Times New Roman"/>
          <w:lang w:eastAsia="fr-FR"/>
        </w:rPr>
      </w:pPr>
      <w:r>
        <w:rPr>
          <w:rFonts w:eastAsia="Times New Roman"/>
          <w:noProof/>
          <w:lang w:eastAsia="fr-FR"/>
        </w:rPr>
        <w:drawing>
          <wp:inline distT="0" distB="0" distL="0" distR="0" wp14:anchorId="709655B9" wp14:editId="2F4A2336">
            <wp:extent cx="5941060" cy="2325370"/>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1060" cy="2325370"/>
                    </a:xfrm>
                    <a:prstGeom prst="rect">
                      <a:avLst/>
                    </a:prstGeom>
                  </pic:spPr>
                </pic:pic>
              </a:graphicData>
            </a:graphic>
          </wp:inline>
        </w:drawing>
      </w:r>
    </w:p>
    <w:p w14:paraId="452FE44C" w14:textId="77777777" w:rsidR="005D5CE6" w:rsidRDefault="005D5CE6" w:rsidP="00E12853">
      <w:pPr>
        <w:pStyle w:val="Titre1"/>
        <w:rPr>
          <w:rFonts w:eastAsia="Times New Roman"/>
          <w:lang w:eastAsia="fr-FR"/>
        </w:rPr>
      </w:pPr>
    </w:p>
    <w:p w14:paraId="41F1B4A8" w14:textId="42C9A8A9" w:rsidR="00E12853" w:rsidRPr="00E12853" w:rsidRDefault="00E12853" w:rsidP="00E12853">
      <w:pPr>
        <w:pStyle w:val="Titre1"/>
        <w:rPr>
          <w:rFonts w:eastAsia="Times New Roman"/>
          <w:lang w:eastAsia="fr-FR"/>
        </w:rPr>
      </w:pPr>
      <w:r w:rsidRPr="00E12853">
        <w:rPr>
          <w:rFonts w:eastAsia="Times New Roman"/>
          <w:lang w:eastAsia="fr-FR"/>
        </w:rPr>
        <w:t>Cartographie</w:t>
      </w:r>
      <w:r w:rsidR="006B5E80">
        <w:rPr>
          <w:rFonts w:eastAsia="Times New Roman"/>
          <w:lang w:eastAsia="fr-FR"/>
        </w:rPr>
        <w:t>z</w:t>
      </w:r>
      <w:r w:rsidRPr="00E12853">
        <w:rPr>
          <w:rFonts w:eastAsia="Times New Roman"/>
          <w:lang w:eastAsia="fr-FR"/>
        </w:rPr>
        <w:t xml:space="preserve"> dynamiquement les risques e</w:t>
      </w:r>
      <w:r>
        <w:rPr>
          <w:rFonts w:eastAsia="Times New Roman"/>
          <w:lang w:eastAsia="fr-FR"/>
        </w:rPr>
        <w:t>t opportunités de votre écosystème d’affaires</w:t>
      </w:r>
      <w:r w:rsidR="006B5E80">
        <w:rPr>
          <w:rFonts w:eastAsia="Times New Roman"/>
          <w:lang w:eastAsia="fr-FR"/>
        </w:rPr>
        <w:t> !</w:t>
      </w:r>
      <w:r w:rsidR="00172237">
        <w:rPr>
          <w:rFonts w:eastAsia="Times New Roman"/>
          <w:lang w:eastAsia="fr-FR"/>
        </w:rPr>
        <w:t xml:space="preserve"> - Focus Fournisseurs</w:t>
      </w:r>
    </w:p>
    <w:p w14:paraId="23C8C4F3" w14:textId="0C24777C" w:rsidR="00E12853" w:rsidRDefault="00E12853" w:rsidP="00915A4C">
      <w:pPr>
        <w:spacing w:after="0" w:line="240" w:lineRule="auto"/>
        <w:rPr>
          <w:rFonts w:ascii="Calibri" w:eastAsia="Times New Roman" w:hAnsi="Calibri" w:cs="Calibri"/>
          <w:lang w:eastAsia="fr-FR"/>
        </w:rPr>
      </w:pPr>
      <w:r>
        <w:rPr>
          <w:rFonts w:ascii="Calibri" w:eastAsia="Times New Roman" w:hAnsi="Calibri" w:cs="Calibri"/>
          <w:lang w:eastAsia="fr-FR"/>
        </w:rPr>
        <w:t>Un des enseignements de la pandémie est que nos entreprises se trouvent au confluent de réseaux de valeurs. Ce qui affecte un acteur d’une chaîne peut avoir des effets indirects sur un autre acteur qui n’en a pas conscience. Anticiper les dérives potentielles pour dresser des plans de prévention ou de mitigation, mais aussi prévoir les opportunités pour être prêt à les saisir : voilà un des enjeux d</w:t>
      </w:r>
      <w:r w:rsidR="006B5E80">
        <w:rPr>
          <w:rFonts w:ascii="Calibri" w:eastAsia="Times New Roman" w:hAnsi="Calibri" w:cs="Calibri"/>
          <w:lang w:eastAsia="fr-FR"/>
        </w:rPr>
        <w:t xml:space="preserve">e cette </w:t>
      </w:r>
      <w:r>
        <w:rPr>
          <w:rFonts w:ascii="Calibri" w:eastAsia="Times New Roman" w:hAnsi="Calibri" w:cs="Calibri"/>
          <w:lang w:eastAsia="fr-FR"/>
        </w:rPr>
        <w:t>année</w:t>
      </w:r>
      <w:r w:rsidR="006B5E80">
        <w:rPr>
          <w:rFonts w:ascii="Calibri" w:eastAsia="Times New Roman" w:hAnsi="Calibri" w:cs="Calibri"/>
          <w:lang w:eastAsia="fr-FR"/>
        </w:rPr>
        <w:t xml:space="preserve"> 2021</w:t>
      </w:r>
      <w:r>
        <w:rPr>
          <w:rFonts w:ascii="Calibri" w:eastAsia="Times New Roman" w:hAnsi="Calibri" w:cs="Calibri"/>
          <w:lang w:eastAsia="fr-FR"/>
        </w:rPr>
        <w:t>.</w:t>
      </w:r>
    </w:p>
    <w:p w14:paraId="20D7EF40" w14:textId="6E089641" w:rsidR="008606B0" w:rsidRDefault="008606B0" w:rsidP="00915A4C">
      <w:pPr>
        <w:spacing w:after="0" w:line="240" w:lineRule="auto"/>
        <w:rPr>
          <w:rFonts w:ascii="Calibri" w:eastAsia="Times New Roman" w:hAnsi="Calibri" w:cs="Calibri"/>
          <w:lang w:eastAsia="fr-FR"/>
        </w:rPr>
      </w:pPr>
      <w:r>
        <w:rPr>
          <w:rFonts w:ascii="Calibri" w:eastAsia="Times New Roman" w:hAnsi="Calibri" w:cs="Calibri"/>
          <w:lang w:eastAsia="fr-FR"/>
        </w:rPr>
        <w:t>Dans cet article, nous focaliserons notre approche sur les fournisseurs.</w:t>
      </w:r>
    </w:p>
    <w:p w14:paraId="5A791D05" w14:textId="77777777" w:rsidR="006B5E80" w:rsidRDefault="006B5E80" w:rsidP="00915A4C">
      <w:pPr>
        <w:spacing w:after="0" w:line="240" w:lineRule="auto"/>
        <w:rPr>
          <w:rFonts w:ascii="Calibri" w:eastAsia="Times New Roman" w:hAnsi="Calibri" w:cs="Calibri"/>
          <w:lang w:eastAsia="fr-FR"/>
        </w:rPr>
      </w:pPr>
    </w:p>
    <w:p w14:paraId="2A505878" w14:textId="0AB39692" w:rsidR="002F0229" w:rsidRDefault="002F0229" w:rsidP="00EE27E2">
      <w:pPr>
        <w:pStyle w:val="Titre2"/>
        <w:rPr>
          <w:rFonts w:eastAsia="Times New Roman"/>
          <w:lang w:eastAsia="fr-FR"/>
        </w:rPr>
      </w:pPr>
      <w:r>
        <w:rPr>
          <w:rFonts w:eastAsia="Times New Roman"/>
          <w:lang w:eastAsia="fr-FR"/>
        </w:rPr>
        <w:t>Une démarche systématique de cartographie permanente</w:t>
      </w:r>
    </w:p>
    <w:p w14:paraId="02301A8D" w14:textId="7EE5F4BC" w:rsidR="002F0229" w:rsidRDefault="002F0229" w:rsidP="002F0229">
      <w:r w:rsidRPr="00EE45D1">
        <w:t>En nous inspirant d’un travail effectué naguère à l’échelon international auprès</w:t>
      </w:r>
      <w:r w:rsidR="00240727">
        <w:t xml:space="preserve"> de grands groupes</w:t>
      </w:r>
      <w:r w:rsidRPr="00EE45D1">
        <w:t>, nous suggérons une approche en plusieurs temps :</w:t>
      </w:r>
    </w:p>
    <w:p w14:paraId="56EABC1E" w14:textId="18A91BDB" w:rsidR="00DB4D6A" w:rsidRPr="00EE45D1" w:rsidRDefault="00575852" w:rsidP="002F0229">
      <w:r>
        <w:rPr>
          <w:noProof/>
        </w:rPr>
        <w:drawing>
          <wp:inline distT="0" distB="0" distL="0" distR="0" wp14:anchorId="2A9E553C" wp14:editId="6713FEF3">
            <wp:extent cx="5760720" cy="14192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419225"/>
                    </a:xfrm>
                    <a:prstGeom prst="rect">
                      <a:avLst/>
                    </a:prstGeom>
                  </pic:spPr>
                </pic:pic>
              </a:graphicData>
            </a:graphic>
          </wp:inline>
        </w:drawing>
      </w:r>
    </w:p>
    <w:p w14:paraId="0A773BBA" w14:textId="6512221E" w:rsidR="002F0229" w:rsidRDefault="002F0229" w:rsidP="002F0229">
      <w:pPr>
        <w:numPr>
          <w:ilvl w:val="0"/>
          <w:numId w:val="7"/>
        </w:numPr>
        <w:spacing w:after="0" w:line="276" w:lineRule="auto"/>
      </w:pPr>
      <w:r>
        <w:t xml:space="preserve">Cartographier </w:t>
      </w:r>
      <w:r w:rsidR="00104028">
        <w:t xml:space="preserve">une fois par trimestre </w:t>
      </w:r>
      <w:r>
        <w:t>l’écosystème des parties prenantes</w:t>
      </w:r>
      <w:r w:rsidR="00812988">
        <w:t>.</w:t>
      </w:r>
    </w:p>
    <w:p w14:paraId="014DFC6F" w14:textId="40E68090" w:rsidR="00812988" w:rsidRPr="00812988" w:rsidRDefault="00812988" w:rsidP="00812988">
      <w:pPr>
        <w:spacing w:line="276" w:lineRule="auto"/>
        <w:ind w:left="720"/>
      </w:pPr>
      <w:r w:rsidRPr="00003731">
        <w:t>Les opérations couvrent toute la chaîne de valeur que nous pouvons représenter comme un puzzle ayant comme signaux d’entrée les besoins et demandes des clients :</w:t>
      </w:r>
    </w:p>
    <w:p w14:paraId="3D47B90B" w14:textId="1FE072C0" w:rsidR="00812988" w:rsidRDefault="00CD7367" w:rsidP="00812988">
      <w:pPr>
        <w:spacing w:after="0" w:line="276" w:lineRule="auto"/>
        <w:ind w:left="720"/>
        <w:jc w:val="center"/>
      </w:pPr>
      <w:r w:rsidRPr="00CD7367">
        <w:rPr>
          <w:noProof/>
        </w:rPr>
        <w:lastRenderedPageBreak/>
        <w:drawing>
          <wp:inline distT="0" distB="0" distL="0" distR="0" wp14:anchorId="009EE0D5" wp14:editId="4CE683C8">
            <wp:extent cx="2406650" cy="2443260"/>
            <wp:effectExtent l="0" t="0" r="0" b="0"/>
            <wp:docPr id="6" name="Image 5">
              <a:extLst xmlns:a="http://schemas.openxmlformats.org/drawingml/2006/main">
                <a:ext uri="{FF2B5EF4-FFF2-40B4-BE49-F238E27FC236}">
                  <a16:creationId xmlns:a16="http://schemas.microsoft.com/office/drawing/2014/main" id="{F948C6D8-848F-4664-9CB7-4BA30380F2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F948C6D8-848F-4664-9CB7-4BA30380F26C}"/>
                        </a:ext>
                      </a:extLst>
                    </pic:cNvPr>
                    <pic:cNvPicPr>
                      <a:picLocks noChangeAspect="1"/>
                    </pic:cNvPicPr>
                  </pic:nvPicPr>
                  <pic:blipFill>
                    <a:blip r:embed="rId7"/>
                    <a:stretch>
                      <a:fillRect/>
                    </a:stretch>
                  </pic:blipFill>
                  <pic:spPr>
                    <a:xfrm>
                      <a:off x="0" y="0"/>
                      <a:ext cx="2427854" cy="2464787"/>
                    </a:xfrm>
                    <a:prstGeom prst="rect">
                      <a:avLst/>
                    </a:prstGeom>
                  </pic:spPr>
                </pic:pic>
              </a:graphicData>
            </a:graphic>
          </wp:inline>
        </w:drawing>
      </w:r>
    </w:p>
    <w:p w14:paraId="2FB735D4" w14:textId="644BFE16" w:rsidR="00812988" w:rsidRPr="0022635F" w:rsidRDefault="00812988" w:rsidP="00812988">
      <w:pPr>
        <w:spacing w:after="0" w:line="276" w:lineRule="auto"/>
        <w:ind w:left="720"/>
      </w:pPr>
      <w:r w:rsidRPr="0022635F">
        <w:t>Le tissu de fournisseurs correspond à une pièce de ce puzzle.</w:t>
      </w:r>
    </w:p>
    <w:p w14:paraId="542CEE36" w14:textId="055E1F69" w:rsidR="00812988" w:rsidRDefault="00812988" w:rsidP="00812988">
      <w:pPr>
        <w:spacing w:after="0" w:line="276" w:lineRule="auto"/>
        <w:ind w:left="720"/>
        <w:rPr>
          <w:rFonts w:ascii="Calibri" w:eastAsia="Times New Roman" w:hAnsi="Calibri" w:cs="Calibri"/>
          <w:lang w:eastAsia="fr-FR"/>
        </w:rPr>
      </w:pPr>
      <w:r w:rsidRPr="0022635F">
        <w:t xml:space="preserve">Il est nécessaire de remonter toute la chaîne de valeur </w:t>
      </w:r>
      <w:r w:rsidRPr="0022635F">
        <w:rPr>
          <w:rFonts w:ascii="Calibri" w:eastAsia="Times New Roman" w:hAnsi="Calibri" w:cs="Calibri"/>
          <w:color w:val="222222"/>
          <w:lang w:eastAsia="fr-FR"/>
        </w:rPr>
        <w:t xml:space="preserve">jusqu'aux fournisseurs de rang N, en visant à identifier les </w:t>
      </w:r>
      <w:r w:rsidRPr="0022635F">
        <w:rPr>
          <w:rFonts w:ascii="Calibri" w:eastAsia="Times New Roman" w:hAnsi="Calibri" w:cs="Calibri"/>
          <w:lang w:eastAsia="fr-FR"/>
        </w:rPr>
        <w:t xml:space="preserve">fournisseurs </w:t>
      </w:r>
      <w:r w:rsidR="000B243B" w:rsidRPr="000B243B">
        <w:rPr>
          <w:rFonts w:ascii="Calibri" w:eastAsia="Times New Roman" w:hAnsi="Calibri" w:cs="Calibri"/>
          <w:i/>
          <w:iCs/>
          <w:lang w:eastAsia="fr-FR"/>
        </w:rPr>
        <w:t>s</w:t>
      </w:r>
      <w:r w:rsidRPr="000B243B">
        <w:rPr>
          <w:rFonts w:ascii="Calibri" w:eastAsia="Times New Roman" w:hAnsi="Calibri" w:cs="Calibri"/>
          <w:i/>
          <w:iCs/>
          <w:lang w:eastAsia="fr-FR"/>
        </w:rPr>
        <w:t xml:space="preserve">ole sourcing </w:t>
      </w:r>
      <w:r w:rsidRPr="000B243B">
        <w:rPr>
          <w:rFonts w:ascii="Calibri" w:eastAsia="Times New Roman" w:hAnsi="Calibri" w:cs="Calibri"/>
          <w:lang w:eastAsia="fr-FR"/>
        </w:rPr>
        <w:t>et</w:t>
      </w:r>
      <w:r w:rsidRPr="000B243B">
        <w:rPr>
          <w:rFonts w:ascii="Calibri" w:eastAsia="Times New Roman" w:hAnsi="Calibri" w:cs="Calibri"/>
          <w:i/>
          <w:iCs/>
          <w:lang w:eastAsia="fr-FR"/>
        </w:rPr>
        <w:t xml:space="preserve"> </w:t>
      </w:r>
      <w:r w:rsidR="000B243B" w:rsidRPr="000B243B">
        <w:rPr>
          <w:rFonts w:ascii="Calibri" w:eastAsia="Times New Roman" w:hAnsi="Calibri" w:cs="Calibri"/>
          <w:i/>
          <w:iCs/>
          <w:lang w:eastAsia="fr-FR"/>
        </w:rPr>
        <w:t>s</w:t>
      </w:r>
      <w:r w:rsidRPr="000B243B">
        <w:rPr>
          <w:rFonts w:ascii="Calibri" w:eastAsia="Times New Roman" w:hAnsi="Calibri" w:cs="Calibri"/>
          <w:i/>
          <w:iCs/>
          <w:lang w:eastAsia="fr-FR"/>
        </w:rPr>
        <w:t>ingle sourcing</w:t>
      </w:r>
      <w:r w:rsidRPr="0022635F">
        <w:rPr>
          <w:rFonts w:ascii="Calibri" w:eastAsia="Times New Roman" w:hAnsi="Calibri" w:cs="Calibri"/>
          <w:lang w:eastAsia="fr-FR"/>
        </w:rPr>
        <w:t> ; pour les achats directs, mais aussi pour les achats indirects.</w:t>
      </w:r>
      <w:r w:rsidR="00240727" w:rsidRPr="0022635F">
        <w:rPr>
          <w:rFonts w:ascii="Calibri" w:eastAsia="Times New Roman" w:hAnsi="Calibri" w:cs="Calibri"/>
          <w:lang w:eastAsia="fr-FR"/>
        </w:rPr>
        <w:t xml:space="preserve"> </w:t>
      </w:r>
    </w:p>
    <w:p w14:paraId="06E7A6C9" w14:textId="77777777" w:rsidR="000B243B" w:rsidRDefault="000B243B" w:rsidP="00812988">
      <w:pPr>
        <w:spacing w:after="0" w:line="276" w:lineRule="auto"/>
        <w:ind w:left="720"/>
      </w:pPr>
    </w:p>
    <w:p w14:paraId="5B1BDE9C" w14:textId="58328780" w:rsidR="0022635F" w:rsidRDefault="0022635F" w:rsidP="000B243B">
      <w:pPr>
        <w:pBdr>
          <w:top w:val="single" w:sz="4" w:space="1" w:color="auto"/>
          <w:left w:val="single" w:sz="4" w:space="4" w:color="auto"/>
          <w:bottom w:val="single" w:sz="4" w:space="1" w:color="auto"/>
          <w:right w:val="single" w:sz="4" w:space="4" w:color="auto"/>
        </w:pBdr>
        <w:spacing w:after="0" w:line="276" w:lineRule="auto"/>
        <w:ind w:left="851"/>
        <w:jc w:val="both"/>
      </w:pPr>
      <w:r>
        <w:t xml:space="preserve">« Sole </w:t>
      </w:r>
      <w:r w:rsidR="000B243B">
        <w:t>s</w:t>
      </w:r>
      <w:r>
        <w:t>ourcing » : un fournisseur qui a le monop</w:t>
      </w:r>
      <w:r w:rsidR="000B243B">
        <w:t>o</w:t>
      </w:r>
      <w:r>
        <w:t>le sur un produit ou un service</w:t>
      </w:r>
    </w:p>
    <w:p w14:paraId="04E6C32C" w14:textId="4913DAA8" w:rsidR="0022635F" w:rsidRDefault="0022635F" w:rsidP="000B243B">
      <w:pPr>
        <w:pBdr>
          <w:top w:val="single" w:sz="4" w:space="1" w:color="auto"/>
          <w:left w:val="single" w:sz="4" w:space="4" w:color="auto"/>
          <w:bottom w:val="single" w:sz="4" w:space="1" w:color="auto"/>
          <w:right w:val="single" w:sz="4" w:space="4" w:color="auto"/>
        </w:pBdr>
        <w:spacing w:after="0" w:line="276" w:lineRule="auto"/>
        <w:ind w:left="851"/>
        <w:jc w:val="both"/>
      </w:pPr>
      <w:r>
        <w:t>« Single sourcing » : un fournisseur qui est le seul à procurer un produit ou un service pour une entreprise donnée, mais qui a des concurrents potentiels</w:t>
      </w:r>
    </w:p>
    <w:p w14:paraId="272908A8" w14:textId="25850C39" w:rsidR="0022635F" w:rsidRDefault="0022635F" w:rsidP="00812988">
      <w:pPr>
        <w:spacing w:after="0" w:line="276" w:lineRule="auto"/>
        <w:ind w:left="720"/>
      </w:pPr>
    </w:p>
    <w:p w14:paraId="06A45776" w14:textId="0A0CA53B" w:rsidR="002F0229" w:rsidRDefault="002F0229" w:rsidP="002F0229">
      <w:pPr>
        <w:numPr>
          <w:ilvl w:val="0"/>
          <w:numId w:val="7"/>
        </w:numPr>
        <w:spacing w:after="0" w:line="276" w:lineRule="auto"/>
      </w:pPr>
      <w:r w:rsidRPr="0022635F">
        <w:t xml:space="preserve">Identifier </w:t>
      </w:r>
      <w:r w:rsidR="00812988" w:rsidRPr="0022635F">
        <w:t>les parties prenantes</w:t>
      </w:r>
      <w:r w:rsidRPr="0022635F">
        <w:t xml:space="preserve"> qui sont clés, i</w:t>
      </w:r>
      <w:r w:rsidR="005C7E5A">
        <w:t>.</w:t>
      </w:r>
      <w:r w:rsidRPr="0022635F">
        <w:t>e</w:t>
      </w:r>
      <w:r w:rsidR="005C7E5A">
        <w:t>.</w:t>
      </w:r>
      <w:r w:rsidRPr="0022635F">
        <w:t xml:space="preserve"> celles dont la défaillance entraînerait celle d’une part significative de l’activité - cette identification ne peut pas se faire efficacement sur la base d’une impression ou d’une habitude</w:t>
      </w:r>
      <w:r w:rsidRPr="00EE45D1">
        <w:t xml:space="preserve">. </w:t>
      </w:r>
      <w:r>
        <w:t>Elle passe par la scénarisation et l’étude des effets induits</w:t>
      </w:r>
    </w:p>
    <w:p w14:paraId="5DBD028C" w14:textId="3F5FAB92" w:rsidR="00104028" w:rsidRPr="00915A4C" w:rsidRDefault="00104028" w:rsidP="00104028">
      <w:pPr>
        <w:numPr>
          <w:ilvl w:val="1"/>
          <w:numId w:val="10"/>
        </w:numPr>
        <w:spacing w:after="0" w:line="240" w:lineRule="auto"/>
        <w:textAlignment w:val="center"/>
        <w:rPr>
          <w:rFonts w:ascii="Calibri" w:eastAsia="Times New Roman" w:hAnsi="Calibri" w:cs="Calibri"/>
          <w:lang w:eastAsia="fr-FR"/>
        </w:rPr>
      </w:pPr>
      <w:r w:rsidRPr="00915A4C">
        <w:rPr>
          <w:rFonts w:ascii="Calibri" w:eastAsia="Times New Roman" w:hAnsi="Calibri" w:cs="Calibri"/>
          <w:color w:val="000000"/>
          <w:lang w:eastAsia="fr-FR"/>
        </w:rPr>
        <w:t>Il ne faut pas penser que le risque</w:t>
      </w:r>
      <w:r w:rsidR="008A2C05">
        <w:rPr>
          <w:rFonts w:ascii="Calibri" w:eastAsia="Times New Roman" w:hAnsi="Calibri" w:cs="Calibri"/>
          <w:color w:val="000000"/>
          <w:lang w:eastAsia="fr-FR"/>
        </w:rPr>
        <w:t xml:space="preserve"> fournisseur </w:t>
      </w:r>
      <w:r w:rsidRPr="00915A4C">
        <w:rPr>
          <w:rFonts w:ascii="Calibri" w:eastAsia="Times New Roman" w:hAnsi="Calibri" w:cs="Calibri"/>
          <w:color w:val="000000"/>
          <w:lang w:eastAsia="fr-FR"/>
        </w:rPr>
        <w:t xml:space="preserve">est lié au chiffre d'affaires (Les risques doivent être qualifiés en fonction du CA du client exposé aux fournitures et non au CA que représente le fournisseur), mais s'appuyer sur une notion de </w:t>
      </w:r>
      <w:r w:rsidRPr="00915A4C">
        <w:rPr>
          <w:rFonts w:ascii="Calibri" w:eastAsia="Times New Roman" w:hAnsi="Calibri" w:cs="Calibri"/>
          <w:b/>
          <w:bCs/>
          <w:color w:val="000000"/>
          <w:lang w:eastAsia="fr-FR"/>
        </w:rPr>
        <w:t>pouvoir de nuisance</w:t>
      </w:r>
      <w:r w:rsidRPr="00915A4C">
        <w:rPr>
          <w:rFonts w:ascii="Calibri" w:eastAsia="Times New Roman" w:hAnsi="Calibri" w:cs="Calibri"/>
          <w:color w:val="000000"/>
          <w:lang w:eastAsia="fr-FR"/>
        </w:rPr>
        <w:t xml:space="preserve"> en croisant plusieurs notions : économique, social, naturel, composant ou matière première…</w:t>
      </w:r>
    </w:p>
    <w:p w14:paraId="2EC09486" w14:textId="69A4E964" w:rsidR="00240727" w:rsidRPr="00597FE4" w:rsidRDefault="00104028" w:rsidP="00240727">
      <w:pPr>
        <w:numPr>
          <w:ilvl w:val="1"/>
          <w:numId w:val="10"/>
        </w:numPr>
        <w:spacing w:after="0" w:line="240" w:lineRule="auto"/>
        <w:textAlignment w:val="center"/>
        <w:rPr>
          <w:rFonts w:ascii="Calibri" w:eastAsia="Times New Roman" w:hAnsi="Calibri" w:cs="Calibri"/>
          <w:lang w:eastAsia="fr-FR"/>
        </w:rPr>
      </w:pPr>
      <w:r w:rsidRPr="00597FE4">
        <w:rPr>
          <w:rFonts w:ascii="Calibri" w:eastAsia="Times New Roman" w:hAnsi="Calibri" w:cs="Calibri"/>
          <w:color w:val="000000"/>
          <w:lang w:eastAsia="fr-FR"/>
        </w:rPr>
        <w:t xml:space="preserve">Regrouper les fournisseurs sous forme de matrice </w:t>
      </w:r>
      <w:r w:rsidR="00832605" w:rsidRPr="00597FE4">
        <w:rPr>
          <w:rFonts w:ascii="Calibri" w:eastAsia="Times New Roman" w:hAnsi="Calibri" w:cs="Calibri"/>
          <w:color w:val="000000"/>
          <w:lang w:eastAsia="fr-FR"/>
        </w:rPr>
        <w:t xml:space="preserve">par exemple en les classant en </w:t>
      </w:r>
      <w:r w:rsidRPr="00597FE4">
        <w:rPr>
          <w:rFonts w:ascii="Calibri" w:eastAsia="Times New Roman" w:hAnsi="Calibri" w:cs="Calibri"/>
          <w:color w:val="000000"/>
          <w:lang w:eastAsia="fr-FR"/>
        </w:rPr>
        <w:t xml:space="preserve">fonction de la </w:t>
      </w:r>
      <w:r w:rsidR="00832605" w:rsidRPr="00597FE4">
        <w:rPr>
          <w:rFonts w:ascii="Calibri" w:eastAsia="Times New Roman" w:hAnsi="Calibri" w:cs="Calibri"/>
          <w:color w:val="000000"/>
          <w:lang w:eastAsia="fr-FR"/>
        </w:rPr>
        <w:t xml:space="preserve">possibilité de mise en </w:t>
      </w:r>
      <w:r w:rsidRPr="00597FE4">
        <w:rPr>
          <w:rFonts w:ascii="Calibri" w:eastAsia="Times New Roman" w:hAnsi="Calibri" w:cs="Calibri"/>
          <w:color w:val="000000"/>
          <w:lang w:eastAsia="fr-FR"/>
        </w:rPr>
        <w:t xml:space="preserve">concurrence et de </w:t>
      </w:r>
      <w:r w:rsidR="00400103" w:rsidRPr="00597FE4">
        <w:rPr>
          <w:rFonts w:ascii="Calibri" w:eastAsia="Times New Roman" w:hAnsi="Calibri" w:cs="Calibri"/>
          <w:color w:val="000000"/>
          <w:lang w:eastAsia="fr-FR"/>
        </w:rPr>
        <w:t xml:space="preserve">la </w:t>
      </w:r>
      <w:r w:rsidR="00832605" w:rsidRPr="00597FE4">
        <w:rPr>
          <w:rFonts w:ascii="Calibri" w:eastAsia="Times New Roman" w:hAnsi="Calibri" w:cs="Calibri"/>
          <w:color w:val="000000"/>
          <w:lang w:eastAsia="fr-FR"/>
        </w:rPr>
        <w:t>rareté</w:t>
      </w:r>
      <w:r w:rsidR="00400103" w:rsidRPr="00597FE4">
        <w:rPr>
          <w:rFonts w:ascii="Calibri" w:eastAsia="Times New Roman" w:hAnsi="Calibri" w:cs="Calibri"/>
          <w:color w:val="000000"/>
          <w:lang w:eastAsia="fr-FR"/>
        </w:rPr>
        <w:t xml:space="preserve"> du bien acheté</w:t>
      </w:r>
      <w:r w:rsidR="00832605" w:rsidRPr="00597FE4">
        <w:rPr>
          <w:rFonts w:ascii="Calibri" w:eastAsia="Times New Roman" w:hAnsi="Calibri" w:cs="Calibri"/>
          <w:color w:val="000000"/>
          <w:lang w:eastAsia="fr-FR"/>
        </w:rPr>
        <w:t xml:space="preserve"> (</w:t>
      </w:r>
      <w:r w:rsidR="00400103" w:rsidRPr="00597FE4">
        <w:rPr>
          <w:rFonts w:ascii="Calibri" w:eastAsia="Times New Roman" w:hAnsi="Calibri" w:cs="Calibri"/>
          <w:color w:val="000000"/>
          <w:lang w:eastAsia="fr-FR"/>
        </w:rPr>
        <w:t xml:space="preserve">Liée à la </w:t>
      </w:r>
      <w:r w:rsidR="00832605" w:rsidRPr="00597FE4">
        <w:rPr>
          <w:rFonts w:ascii="Calibri" w:eastAsia="Times New Roman" w:hAnsi="Calibri" w:cs="Calibri"/>
          <w:color w:val="000000"/>
          <w:lang w:eastAsia="fr-FR"/>
        </w:rPr>
        <w:t>technologie</w:t>
      </w:r>
      <w:r w:rsidR="00400103" w:rsidRPr="00597FE4">
        <w:rPr>
          <w:rFonts w:ascii="Calibri" w:eastAsia="Times New Roman" w:hAnsi="Calibri" w:cs="Calibri"/>
          <w:color w:val="000000"/>
          <w:lang w:eastAsia="fr-FR"/>
        </w:rPr>
        <w:t xml:space="preserve">, la </w:t>
      </w:r>
      <w:r w:rsidR="00832605" w:rsidRPr="00597FE4">
        <w:rPr>
          <w:rFonts w:ascii="Calibri" w:eastAsia="Times New Roman" w:hAnsi="Calibri" w:cs="Calibri"/>
          <w:color w:val="000000"/>
          <w:lang w:eastAsia="fr-FR"/>
        </w:rPr>
        <w:t>matière première</w:t>
      </w:r>
      <w:r w:rsidR="00400103" w:rsidRPr="00597FE4">
        <w:rPr>
          <w:rFonts w:ascii="Calibri" w:eastAsia="Times New Roman" w:hAnsi="Calibri" w:cs="Calibri"/>
          <w:color w:val="000000"/>
          <w:lang w:eastAsia="fr-FR"/>
        </w:rPr>
        <w:t>, …</w:t>
      </w:r>
      <w:r w:rsidR="00832605" w:rsidRPr="00597FE4">
        <w:rPr>
          <w:rFonts w:ascii="Calibri" w:eastAsia="Times New Roman" w:hAnsi="Calibri" w:cs="Calibri"/>
          <w:color w:val="000000"/>
          <w:lang w:eastAsia="fr-FR"/>
        </w:rPr>
        <w:t xml:space="preserve">) </w:t>
      </w:r>
      <w:r w:rsidRPr="00597FE4">
        <w:rPr>
          <w:rFonts w:ascii="Calibri" w:eastAsia="Times New Roman" w:hAnsi="Calibri" w:cs="Calibri"/>
          <w:color w:val="000000"/>
          <w:lang w:eastAsia="fr-FR"/>
        </w:rPr>
        <w:t xml:space="preserve">que représente </w:t>
      </w:r>
      <w:r w:rsidR="00400103" w:rsidRPr="00597FE4">
        <w:rPr>
          <w:rFonts w:ascii="Calibri" w:eastAsia="Times New Roman" w:hAnsi="Calibri" w:cs="Calibri"/>
          <w:color w:val="000000"/>
          <w:lang w:eastAsia="fr-FR"/>
        </w:rPr>
        <w:t>l</w:t>
      </w:r>
      <w:r w:rsidR="00832605" w:rsidRPr="00597FE4">
        <w:rPr>
          <w:rFonts w:ascii="Calibri" w:eastAsia="Times New Roman" w:hAnsi="Calibri" w:cs="Calibri"/>
          <w:color w:val="000000"/>
          <w:lang w:eastAsia="fr-FR"/>
        </w:rPr>
        <w:t>eurs</w:t>
      </w:r>
      <w:r w:rsidRPr="00597FE4">
        <w:rPr>
          <w:rFonts w:ascii="Calibri" w:eastAsia="Times New Roman" w:hAnsi="Calibri" w:cs="Calibri"/>
          <w:color w:val="000000"/>
          <w:lang w:eastAsia="fr-FR"/>
        </w:rPr>
        <w:t xml:space="preserve"> marché</w:t>
      </w:r>
      <w:r w:rsidR="00832605" w:rsidRPr="00597FE4">
        <w:rPr>
          <w:rFonts w:ascii="Calibri" w:eastAsia="Times New Roman" w:hAnsi="Calibri" w:cs="Calibri"/>
          <w:color w:val="000000"/>
          <w:lang w:eastAsia="fr-FR"/>
        </w:rPr>
        <w:t>s</w:t>
      </w:r>
    </w:p>
    <w:p w14:paraId="5157DED5" w14:textId="5123AB1D" w:rsidR="0022635F" w:rsidRDefault="00CD7367" w:rsidP="00CD7367">
      <w:pPr>
        <w:spacing w:after="0" w:line="276" w:lineRule="auto"/>
        <w:ind w:left="720"/>
        <w:jc w:val="center"/>
      </w:pPr>
      <w:r w:rsidRPr="00CD7367">
        <w:rPr>
          <w:noProof/>
        </w:rPr>
        <w:drawing>
          <wp:inline distT="0" distB="0" distL="0" distR="0" wp14:anchorId="60685F4F" wp14:editId="7E368D19">
            <wp:extent cx="3558262" cy="2343150"/>
            <wp:effectExtent l="0" t="0" r="0" b="0"/>
            <wp:docPr id="41" name="Image 40">
              <a:extLst xmlns:a="http://schemas.openxmlformats.org/drawingml/2006/main">
                <a:ext uri="{FF2B5EF4-FFF2-40B4-BE49-F238E27FC236}">
                  <a16:creationId xmlns:a16="http://schemas.microsoft.com/office/drawing/2014/main" id="{45ABD0F8-28B4-4558-86ED-AF749E36AC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0">
                      <a:extLst>
                        <a:ext uri="{FF2B5EF4-FFF2-40B4-BE49-F238E27FC236}">
                          <a16:creationId xmlns:a16="http://schemas.microsoft.com/office/drawing/2014/main" id="{45ABD0F8-28B4-4558-86ED-AF749E36AC1E}"/>
                        </a:ext>
                      </a:extLst>
                    </pic:cNvPr>
                    <pic:cNvPicPr>
                      <a:picLocks noChangeAspect="1"/>
                    </pic:cNvPicPr>
                  </pic:nvPicPr>
                  <pic:blipFill>
                    <a:blip r:embed="rId8"/>
                    <a:stretch>
                      <a:fillRect/>
                    </a:stretch>
                  </pic:blipFill>
                  <pic:spPr>
                    <a:xfrm>
                      <a:off x="0" y="0"/>
                      <a:ext cx="3588034" cy="2362755"/>
                    </a:xfrm>
                    <a:prstGeom prst="rect">
                      <a:avLst/>
                    </a:prstGeom>
                  </pic:spPr>
                </pic:pic>
              </a:graphicData>
            </a:graphic>
          </wp:inline>
        </w:drawing>
      </w:r>
    </w:p>
    <w:p w14:paraId="69BC0462" w14:textId="14BFBFA4" w:rsidR="002F0229" w:rsidRPr="00EE45D1" w:rsidRDefault="002F0229" w:rsidP="002F0229">
      <w:pPr>
        <w:numPr>
          <w:ilvl w:val="0"/>
          <w:numId w:val="7"/>
        </w:numPr>
        <w:spacing w:after="0" w:line="276" w:lineRule="auto"/>
      </w:pPr>
      <w:r w:rsidRPr="00EE45D1">
        <w:lastRenderedPageBreak/>
        <w:t>Catégoriser pour chacune ses trajectoires de dérive, i</w:t>
      </w:r>
      <w:r w:rsidR="005D5CE6">
        <w:t>.</w:t>
      </w:r>
      <w:r w:rsidRPr="00EE45D1">
        <w:t>e</w:t>
      </w:r>
      <w:r w:rsidR="005D5CE6">
        <w:t>.</w:t>
      </w:r>
      <w:r w:rsidRPr="00EE45D1">
        <w:t xml:space="preserve"> la façon dont elle a tendance à dysfonctionner (déni de service, priorisation des partenaires, renégociations abusives, cessation de paiement…)</w:t>
      </w:r>
    </w:p>
    <w:p w14:paraId="6D011E7B" w14:textId="77777777" w:rsidR="002F0229" w:rsidRPr="00EE45D1" w:rsidRDefault="002F0229" w:rsidP="002F0229">
      <w:pPr>
        <w:numPr>
          <w:ilvl w:val="0"/>
          <w:numId w:val="7"/>
        </w:numPr>
        <w:spacing w:after="0" w:line="276" w:lineRule="auto"/>
      </w:pPr>
      <w:r w:rsidRPr="00EE45D1">
        <w:t xml:space="preserve"> Caractériser les déclencheurs de ces dérives (sensibilité au cash flow, à la visibilité du carnet de commande, au statut privilégié, à la co-gouvernance…)</w:t>
      </w:r>
    </w:p>
    <w:p w14:paraId="7DBD1232" w14:textId="5445D12F" w:rsidR="006827E7" w:rsidRDefault="002F0229" w:rsidP="002F0229">
      <w:pPr>
        <w:numPr>
          <w:ilvl w:val="0"/>
          <w:numId w:val="7"/>
        </w:numPr>
        <w:spacing w:after="0" w:line="276" w:lineRule="auto"/>
      </w:pPr>
      <w:r w:rsidRPr="00EE45D1">
        <w:t xml:space="preserve">Lister pour ces déclencheurs </w:t>
      </w:r>
      <w:r w:rsidRPr="006827E7">
        <w:t>les parades aux différents</w:t>
      </w:r>
      <w:r w:rsidRPr="00EE45D1">
        <w:t xml:space="preserve"> stades : détection de la dérive, prévention, mitigation, retour à la normale</w:t>
      </w:r>
    </w:p>
    <w:p w14:paraId="1576ED6A" w14:textId="1BB24555" w:rsidR="000B243B" w:rsidRDefault="004F30D6" w:rsidP="000B243B">
      <w:pPr>
        <w:spacing w:after="0" w:line="276" w:lineRule="auto"/>
        <w:ind w:left="360"/>
        <w:jc w:val="center"/>
      </w:pPr>
      <w:r w:rsidRPr="004F30D6">
        <w:rPr>
          <w:noProof/>
        </w:rPr>
        <w:drawing>
          <wp:inline distT="0" distB="0" distL="0" distR="0" wp14:anchorId="5AC90C1A" wp14:editId="1F8D6AC2">
            <wp:extent cx="4611370" cy="242005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1524" cy="2420135"/>
                    </a:xfrm>
                    <a:prstGeom prst="rect">
                      <a:avLst/>
                    </a:prstGeom>
                    <a:noFill/>
                    <a:ln>
                      <a:noFill/>
                    </a:ln>
                  </pic:spPr>
                </pic:pic>
              </a:graphicData>
            </a:graphic>
          </wp:inline>
        </w:drawing>
      </w:r>
    </w:p>
    <w:p w14:paraId="6A536174" w14:textId="53C0368A" w:rsidR="002F0229" w:rsidRDefault="002F0229" w:rsidP="002F0229">
      <w:pPr>
        <w:numPr>
          <w:ilvl w:val="0"/>
          <w:numId w:val="7"/>
        </w:numPr>
        <w:spacing w:after="0" w:line="276" w:lineRule="auto"/>
      </w:pPr>
      <w:r w:rsidRPr="00EE45D1">
        <w:t xml:space="preserve">Jouer régulièrement (4 à 10 fois par an) une revue </w:t>
      </w:r>
      <w:r w:rsidR="005C7E5A" w:rsidRPr="00EE45D1">
        <w:t>fluidifiée</w:t>
      </w:r>
      <w:r w:rsidRPr="00EE45D1">
        <w:t xml:space="preserve"> en simulant des scénarios de dérive et l’effet des parades, de façon à acquérir et maintenir le bon arsenal de parades actionnables sans délai et à se mettre en capacité de les activer effectivement </w:t>
      </w:r>
    </w:p>
    <w:p w14:paraId="0B10CFEA" w14:textId="77777777" w:rsidR="006B5E80" w:rsidRDefault="006B5E80" w:rsidP="006B5E80">
      <w:pPr>
        <w:spacing w:after="0" w:line="276" w:lineRule="auto"/>
        <w:ind w:left="720"/>
      </w:pPr>
    </w:p>
    <w:p w14:paraId="6921B00C" w14:textId="2971AA52" w:rsidR="000B243B" w:rsidRDefault="000B243B" w:rsidP="006B5E80">
      <w:r>
        <w:t xml:space="preserve">Pour partager avec nous vos expériences en la matière, vous pouvez nous contacter </w:t>
      </w:r>
      <w:r w:rsidR="005D5CE6">
        <w:t xml:space="preserve">via ce </w:t>
      </w:r>
      <w:hyperlink r:id="rId10" w:history="1">
        <w:r w:rsidR="005D5CE6" w:rsidRPr="005D5CE6">
          <w:rPr>
            <w:rStyle w:val="Lienhypertexte"/>
          </w:rPr>
          <w:t>lien</w:t>
        </w:r>
      </w:hyperlink>
      <w:r w:rsidR="005D5CE6">
        <w:t>.</w:t>
      </w:r>
      <w:r>
        <w:t xml:space="preserve"> </w:t>
      </w:r>
    </w:p>
    <w:p w14:paraId="3FAEBD21" w14:textId="5EE05ECF" w:rsidR="006B5E80" w:rsidRPr="006B5E80" w:rsidRDefault="006B5E80" w:rsidP="006B5E80">
      <w:pPr>
        <w:shd w:val="clear" w:color="auto" w:fill="FFFFFF"/>
        <w:spacing w:after="0" w:line="240" w:lineRule="auto"/>
        <w:rPr>
          <w:rFonts w:ascii="Calibri" w:eastAsia="Times New Roman" w:hAnsi="Calibri" w:cs="Calibri"/>
          <w:i/>
          <w:iCs/>
          <w:u w:val="single"/>
          <w:lang w:eastAsia="fr-FR"/>
        </w:rPr>
      </w:pPr>
      <w:r w:rsidRPr="006B5E80">
        <w:rPr>
          <w:rFonts w:ascii="Calibri" w:eastAsia="Times New Roman" w:hAnsi="Calibri" w:cs="Calibri"/>
          <w:i/>
          <w:iCs/>
          <w:u w:val="single"/>
          <w:lang w:eastAsia="fr-FR"/>
        </w:rPr>
        <w:t>Histoires vécues :</w:t>
      </w:r>
    </w:p>
    <w:p w14:paraId="175033E9" w14:textId="0419E9E2" w:rsidR="006B5E80" w:rsidRPr="006B5E80" w:rsidRDefault="006B5E80" w:rsidP="006B5E80">
      <w:pPr>
        <w:shd w:val="clear" w:color="auto" w:fill="FFFFFF"/>
        <w:spacing w:after="0" w:line="240" w:lineRule="auto"/>
        <w:ind w:left="708"/>
        <w:rPr>
          <w:rFonts w:ascii="Calibri" w:eastAsia="Times New Roman" w:hAnsi="Calibri" w:cs="Calibri"/>
          <w:i/>
          <w:iCs/>
          <w:lang w:eastAsia="fr-FR"/>
        </w:rPr>
      </w:pPr>
      <w:r w:rsidRPr="006B5E80">
        <w:rPr>
          <w:rFonts w:ascii="Calibri" w:eastAsia="Times New Roman" w:hAnsi="Calibri" w:cs="Calibri"/>
          <w:i/>
          <w:iCs/>
          <w:lang w:eastAsia="fr-FR"/>
        </w:rPr>
        <w:t>Sur le processus de cartographie lui-même,</w:t>
      </w:r>
      <w:r>
        <w:rPr>
          <w:rFonts w:ascii="Calibri" w:eastAsia="Times New Roman" w:hAnsi="Calibri" w:cs="Calibri"/>
          <w:i/>
          <w:iCs/>
          <w:lang w:eastAsia="fr-FR"/>
        </w:rPr>
        <w:t xml:space="preserve"> </w:t>
      </w:r>
      <w:r w:rsidRPr="006B5E80">
        <w:rPr>
          <w:rFonts w:ascii="Calibri" w:eastAsia="Times New Roman" w:hAnsi="Calibri" w:cs="Calibri"/>
          <w:i/>
          <w:iCs/>
          <w:lang w:eastAsia="fr-FR"/>
        </w:rPr>
        <w:t>pour un acteur du mobilier urbain, nous avons ainsi détouré l'ensemble des acteurs parties prenantes à sa prospérité, des sous-traitants, notamment informatiques, hébergés dans ses locaux (son é</w:t>
      </w:r>
      <w:r w:rsidR="005D5CE6">
        <w:rPr>
          <w:rFonts w:ascii="Calibri" w:eastAsia="Times New Roman" w:hAnsi="Calibri" w:cs="Calibri"/>
          <w:i/>
          <w:iCs/>
          <w:lang w:eastAsia="fr-FR"/>
        </w:rPr>
        <w:t>c</w:t>
      </w:r>
      <w:r w:rsidRPr="006B5E80">
        <w:rPr>
          <w:rFonts w:ascii="Calibri" w:eastAsia="Times New Roman" w:hAnsi="Calibri" w:cs="Calibri"/>
          <w:i/>
          <w:iCs/>
          <w:lang w:eastAsia="fr-FR"/>
        </w:rPr>
        <w:t>osystème) à ses partenaires du quotidien (clients, banquiers, administrateurs, actionnaires... son écosystème) et pour finir médias, pouvoirs publics, confrères, mode académique : son exosystème. Ce simple exercice a permis de mettre en évidence des dépendances pressenties mais pas explicites et de comprendre des phénomènes jusque-là attribués à des causes inadéquates (gain ou perte de certaines affaires notamment)</w:t>
      </w:r>
      <w:r>
        <w:rPr>
          <w:rFonts w:ascii="Calibri" w:eastAsia="Times New Roman" w:hAnsi="Calibri" w:cs="Calibri"/>
          <w:i/>
          <w:iCs/>
          <w:lang w:eastAsia="fr-FR"/>
        </w:rPr>
        <w:t>.</w:t>
      </w:r>
    </w:p>
    <w:p w14:paraId="7AE422A5" w14:textId="77777777" w:rsidR="006B5E80" w:rsidRPr="006B5E80" w:rsidRDefault="006B5E80" w:rsidP="006B5E80">
      <w:pPr>
        <w:shd w:val="clear" w:color="auto" w:fill="FFFFFF"/>
        <w:spacing w:after="0" w:line="240" w:lineRule="auto"/>
        <w:ind w:left="708"/>
        <w:rPr>
          <w:rFonts w:ascii="Calibri" w:eastAsia="Times New Roman" w:hAnsi="Calibri" w:cs="Calibri"/>
          <w:i/>
          <w:iCs/>
          <w:lang w:eastAsia="fr-FR"/>
        </w:rPr>
      </w:pPr>
    </w:p>
    <w:p w14:paraId="64C5F2A8" w14:textId="5EA7F236" w:rsidR="006B5E80" w:rsidRDefault="006B5E80" w:rsidP="006B5E80">
      <w:pPr>
        <w:shd w:val="clear" w:color="auto" w:fill="FFFFFF"/>
        <w:spacing w:after="0" w:line="240" w:lineRule="auto"/>
        <w:ind w:left="708"/>
        <w:rPr>
          <w:rFonts w:ascii="Calibri" w:eastAsia="Times New Roman" w:hAnsi="Calibri" w:cs="Calibri"/>
          <w:i/>
          <w:iCs/>
          <w:lang w:eastAsia="fr-FR"/>
        </w:rPr>
      </w:pPr>
      <w:r w:rsidRPr="006B5E80">
        <w:rPr>
          <w:rFonts w:ascii="Calibri" w:eastAsia="Times New Roman" w:hAnsi="Calibri" w:cs="Calibri"/>
          <w:i/>
          <w:iCs/>
          <w:lang w:eastAsia="fr-FR"/>
        </w:rPr>
        <w:t>Sur l'ensemble du processus, pour un acteur de la cosmétique, nous avons procédé à cette analyse systématique. Le sort a voulu que, pendant que nous échafaudions le système, deux incidents se produisent dans la même géographie, tous deux prévus par notre modèle. Ayant ainsi démontré malgré nous son caractère prédictif, son adhésion en a été accélérée notablement.</w:t>
      </w:r>
      <w:r>
        <w:rPr>
          <w:rFonts w:ascii="Calibri" w:eastAsia="Times New Roman" w:hAnsi="Calibri" w:cs="Calibri"/>
          <w:i/>
          <w:iCs/>
          <w:lang w:eastAsia="fr-FR"/>
        </w:rPr>
        <w:t xml:space="preserve"> </w:t>
      </w:r>
    </w:p>
    <w:p w14:paraId="30CAF0C7" w14:textId="7483BE75" w:rsidR="006B5E80" w:rsidRDefault="006B5E80" w:rsidP="006B5E80">
      <w:pPr>
        <w:shd w:val="clear" w:color="auto" w:fill="FFFFFF"/>
        <w:spacing w:after="0" w:line="240" w:lineRule="auto"/>
        <w:rPr>
          <w:rFonts w:ascii="Calibri" w:eastAsia="Times New Roman" w:hAnsi="Calibri" w:cs="Calibri"/>
          <w:i/>
          <w:iCs/>
          <w:lang w:eastAsia="fr-FR"/>
        </w:rPr>
      </w:pPr>
    </w:p>
    <w:p w14:paraId="7D2E893C" w14:textId="77777777" w:rsidR="006B5E80" w:rsidRPr="006B5E80" w:rsidRDefault="006B5E80" w:rsidP="006B5E80">
      <w:pPr>
        <w:shd w:val="clear" w:color="auto" w:fill="FFFFFF"/>
        <w:spacing w:after="0" w:line="240" w:lineRule="auto"/>
        <w:rPr>
          <w:rFonts w:ascii="Calibri" w:eastAsia="Times New Roman" w:hAnsi="Calibri" w:cs="Calibri"/>
          <w:i/>
          <w:iCs/>
          <w:lang w:eastAsia="fr-FR"/>
        </w:rPr>
      </w:pPr>
    </w:p>
    <w:tbl>
      <w:tblPr>
        <w:tblStyle w:val="Grilledutableau"/>
        <w:tblW w:w="0" w:type="auto"/>
        <w:tblInd w:w="720" w:type="dxa"/>
        <w:tblLook w:val="04A0" w:firstRow="1" w:lastRow="0" w:firstColumn="1" w:lastColumn="0" w:noHBand="0" w:noVBand="1"/>
      </w:tblPr>
      <w:tblGrid>
        <w:gridCol w:w="8626"/>
      </w:tblGrid>
      <w:tr w:rsidR="000B243B" w14:paraId="4933CFD6" w14:textId="77777777" w:rsidTr="000B243B">
        <w:tc>
          <w:tcPr>
            <w:tcW w:w="9062" w:type="dxa"/>
            <w:shd w:val="clear" w:color="auto" w:fill="E7E6E6" w:themeFill="background2"/>
          </w:tcPr>
          <w:p w14:paraId="13F84171" w14:textId="77777777" w:rsidR="000B243B" w:rsidRDefault="000B243B" w:rsidP="000B243B">
            <w:pPr>
              <w:pStyle w:val="Titre2"/>
              <w:outlineLvl w:val="1"/>
              <w:rPr>
                <w:rFonts w:eastAsia="Times New Roman"/>
                <w:lang w:eastAsia="fr-FR"/>
              </w:rPr>
            </w:pPr>
            <w:r>
              <w:rPr>
                <w:rFonts w:eastAsia="Times New Roman"/>
                <w:lang w:eastAsia="fr-FR"/>
              </w:rPr>
              <w:lastRenderedPageBreak/>
              <w:t>Une valorisation ingénieuse du patrimoine informationnel</w:t>
            </w:r>
          </w:p>
          <w:p w14:paraId="35F34D2A" w14:textId="77777777" w:rsidR="000B243B" w:rsidRPr="00915A4C" w:rsidRDefault="000B243B" w:rsidP="000B243B">
            <w:pPr>
              <w:rPr>
                <w:rFonts w:ascii="Calibri" w:eastAsia="Times New Roman" w:hAnsi="Calibri" w:cs="Calibri"/>
                <w:lang w:eastAsia="fr-FR"/>
              </w:rPr>
            </w:pPr>
            <w:r w:rsidRPr="00915A4C">
              <w:rPr>
                <w:rFonts w:ascii="Calibri" w:eastAsia="Times New Roman" w:hAnsi="Calibri" w:cs="Calibri"/>
                <w:lang w:eastAsia="fr-FR"/>
              </w:rPr>
              <w:t xml:space="preserve">Les données disponibles sur le </w:t>
            </w:r>
            <w:r w:rsidRPr="0022635F">
              <w:rPr>
                <w:rFonts w:ascii="Calibri" w:eastAsia="Times New Roman" w:hAnsi="Calibri" w:cs="Calibri"/>
                <w:lang w:eastAsia="fr-FR"/>
              </w:rPr>
              <w:t>marché via des études sectorielles ne sont</w:t>
            </w:r>
            <w:r w:rsidRPr="00915A4C">
              <w:rPr>
                <w:rFonts w:ascii="Calibri" w:eastAsia="Times New Roman" w:hAnsi="Calibri" w:cs="Calibri"/>
                <w:lang w:eastAsia="fr-FR"/>
              </w:rPr>
              <w:t xml:space="preserve"> pas assez réactives</w:t>
            </w:r>
            <w:r>
              <w:rPr>
                <w:rFonts w:ascii="Calibri" w:eastAsia="Times New Roman" w:hAnsi="Calibri" w:cs="Calibri"/>
                <w:lang w:eastAsia="fr-FR"/>
              </w:rPr>
              <w:t xml:space="preserve"> </w:t>
            </w:r>
            <w:r w:rsidRPr="00915A4C">
              <w:rPr>
                <w:rFonts w:ascii="Calibri" w:eastAsia="Times New Roman" w:hAnsi="Calibri" w:cs="Calibri"/>
                <w:lang w:eastAsia="fr-FR"/>
              </w:rPr>
              <w:t>: lorsque le marché est notifié, le délai est souvent trop court pour pouvoir écarter ou contourner le risque dorénavant avéré. Il est plus pertinent de "fabriquer" ses propres indicateurs à partir de vos données pour obtenir des alertes réactives vous permettant d'anticiper.</w:t>
            </w:r>
          </w:p>
          <w:p w14:paraId="51E4182D" w14:textId="77777777" w:rsidR="000B243B" w:rsidRPr="00915A4C" w:rsidRDefault="000B243B" w:rsidP="000B243B">
            <w:pPr>
              <w:rPr>
                <w:rFonts w:ascii="Calibri" w:eastAsia="Times New Roman" w:hAnsi="Calibri" w:cs="Calibri"/>
                <w:lang w:eastAsia="fr-FR"/>
              </w:rPr>
            </w:pPr>
            <w:r w:rsidRPr="00915A4C">
              <w:rPr>
                <w:rFonts w:ascii="Calibri" w:eastAsia="Times New Roman" w:hAnsi="Calibri" w:cs="Calibri"/>
                <w:lang w:eastAsia="fr-FR"/>
              </w:rPr>
              <w:t xml:space="preserve">Pour les candidats à une surveillance rapprochée et </w:t>
            </w:r>
            <w:r w:rsidRPr="00915A4C">
              <w:rPr>
                <w:rFonts w:ascii="Calibri" w:eastAsia="Times New Roman" w:hAnsi="Calibri" w:cs="Calibri"/>
                <w:b/>
                <w:bCs/>
                <w:lang w:eastAsia="fr-FR"/>
              </w:rPr>
              <w:t>dans un premier temps, développer ses propres indicateurs et seuils d'alerte</w:t>
            </w:r>
            <w:r w:rsidRPr="00915A4C">
              <w:rPr>
                <w:rFonts w:ascii="Calibri" w:eastAsia="Times New Roman" w:hAnsi="Calibri" w:cs="Calibri"/>
                <w:lang w:eastAsia="fr-FR"/>
              </w:rPr>
              <w:t xml:space="preserve"> : </w:t>
            </w:r>
          </w:p>
          <w:p w14:paraId="368060F9" w14:textId="77777777" w:rsidR="000B243B" w:rsidRPr="00915A4C" w:rsidRDefault="000B243B" w:rsidP="000B243B">
            <w:pPr>
              <w:numPr>
                <w:ilvl w:val="0"/>
                <w:numId w:val="6"/>
              </w:numPr>
              <w:ind w:left="1800"/>
              <w:textAlignment w:val="center"/>
              <w:rPr>
                <w:rFonts w:ascii="Calibri" w:eastAsia="Times New Roman" w:hAnsi="Calibri" w:cs="Calibri"/>
                <w:color w:val="000000"/>
                <w:lang w:eastAsia="fr-FR"/>
              </w:rPr>
            </w:pPr>
            <w:r w:rsidRPr="00915A4C">
              <w:rPr>
                <w:rFonts w:ascii="Calibri" w:eastAsia="Times New Roman" w:hAnsi="Calibri" w:cs="Calibri"/>
                <w:color w:val="000000"/>
                <w:lang w:eastAsia="fr-FR"/>
              </w:rPr>
              <w:t>Les indicateurs peuvent être composés de cotations qualitatives et de données quantitatives </w:t>
            </w:r>
          </w:p>
          <w:p w14:paraId="7614F623" w14:textId="77777777" w:rsidR="000B243B" w:rsidRPr="00915A4C" w:rsidRDefault="000B243B" w:rsidP="000B243B">
            <w:pPr>
              <w:numPr>
                <w:ilvl w:val="1"/>
                <w:numId w:val="6"/>
              </w:numPr>
              <w:ind w:left="3060"/>
              <w:textAlignment w:val="center"/>
              <w:rPr>
                <w:rFonts w:ascii="Calibri" w:eastAsia="Times New Roman" w:hAnsi="Calibri" w:cs="Calibri"/>
                <w:color w:val="000000"/>
                <w:lang w:eastAsia="fr-FR"/>
              </w:rPr>
            </w:pPr>
            <w:r w:rsidRPr="00915A4C">
              <w:rPr>
                <w:rFonts w:ascii="Calibri" w:eastAsia="Times New Roman" w:hAnsi="Calibri" w:cs="Calibri"/>
                <w:color w:val="000000"/>
                <w:lang w:eastAsia="fr-FR"/>
              </w:rPr>
              <w:t>les cotations qualitatives seront issues de contacts avec les fournisseurs, de données contractuelles, du type de structures juridiques, du comportement commercial, des certifications</w:t>
            </w:r>
            <w:r>
              <w:rPr>
                <w:rFonts w:ascii="Calibri" w:eastAsia="Times New Roman" w:hAnsi="Calibri" w:cs="Calibri"/>
                <w:color w:val="000000"/>
                <w:lang w:eastAsia="fr-FR"/>
              </w:rPr>
              <w:t>,</w:t>
            </w:r>
            <w:r w:rsidRPr="00915A4C">
              <w:rPr>
                <w:rFonts w:ascii="Calibri" w:eastAsia="Times New Roman" w:hAnsi="Calibri" w:cs="Calibri"/>
                <w:color w:val="000000"/>
                <w:lang w:eastAsia="fr-FR"/>
              </w:rPr>
              <w:t xml:space="preserve"> etc</w:t>
            </w:r>
            <w:r>
              <w:rPr>
                <w:rFonts w:ascii="Calibri" w:eastAsia="Times New Roman" w:hAnsi="Calibri" w:cs="Calibri"/>
                <w:color w:val="000000"/>
                <w:lang w:eastAsia="fr-FR"/>
              </w:rPr>
              <w:t>.</w:t>
            </w:r>
          </w:p>
          <w:p w14:paraId="1D339A13" w14:textId="77777777" w:rsidR="000B243B" w:rsidRPr="00915A4C" w:rsidRDefault="000B243B" w:rsidP="000B243B">
            <w:pPr>
              <w:numPr>
                <w:ilvl w:val="1"/>
                <w:numId w:val="6"/>
              </w:numPr>
              <w:ind w:left="3060"/>
              <w:textAlignment w:val="center"/>
              <w:rPr>
                <w:rFonts w:ascii="Calibri" w:eastAsia="Times New Roman" w:hAnsi="Calibri" w:cs="Calibri"/>
                <w:color w:val="000000"/>
                <w:lang w:eastAsia="fr-FR"/>
              </w:rPr>
            </w:pPr>
            <w:r w:rsidRPr="00915A4C">
              <w:rPr>
                <w:rFonts w:ascii="Calibri" w:eastAsia="Times New Roman" w:hAnsi="Calibri" w:cs="Calibri"/>
                <w:color w:val="000000"/>
                <w:lang w:eastAsia="fr-FR"/>
              </w:rPr>
              <w:t xml:space="preserve">les données qualitatives seront issues de </w:t>
            </w:r>
            <w:r>
              <w:rPr>
                <w:rFonts w:ascii="Calibri" w:eastAsia="Times New Roman" w:hAnsi="Calibri" w:cs="Calibri"/>
                <w:color w:val="000000"/>
                <w:lang w:eastAsia="fr-FR"/>
              </w:rPr>
              <w:t>l’ERP</w:t>
            </w:r>
            <w:r w:rsidRPr="00915A4C">
              <w:rPr>
                <w:rFonts w:ascii="Calibri" w:eastAsia="Times New Roman" w:hAnsi="Calibri" w:cs="Calibri"/>
                <w:color w:val="000000"/>
                <w:lang w:eastAsia="fr-FR"/>
              </w:rPr>
              <w:t xml:space="preserve"> notamment des données de Livraison et Qualité . On cherchera notamment à déterminer une oscillation anormale de ces indicateurs et / ou une dérive dans le temps.</w:t>
            </w:r>
          </w:p>
          <w:p w14:paraId="5FAA7A08" w14:textId="77777777" w:rsidR="000B243B" w:rsidRPr="00915A4C" w:rsidRDefault="000B243B" w:rsidP="000B243B">
            <w:pPr>
              <w:numPr>
                <w:ilvl w:val="1"/>
                <w:numId w:val="6"/>
              </w:numPr>
              <w:ind w:left="3060"/>
              <w:textAlignment w:val="center"/>
              <w:rPr>
                <w:rFonts w:ascii="Calibri" w:eastAsia="Times New Roman" w:hAnsi="Calibri" w:cs="Calibri"/>
                <w:color w:val="000000"/>
                <w:lang w:eastAsia="fr-FR"/>
              </w:rPr>
            </w:pPr>
            <w:r w:rsidRPr="00915A4C">
              <w:rPr>
                <w:rFonts w:ascii="Calibri" w:eastAsia="Times New Roman" w:hAnsi="Calibri" w:cs="Calibri"/>
                <w:color w:val="000000"/>
                <w:lang w:eastAsia="fr-FR"/>
              </w:rPr>
              <w:t xml:space="preserve">On pourra également déterminer des indicateurs quantitatifs à partir de données externes : par exemple le ratio entre le CA </w:t>
            </w:r>
            <w:r>
              <w:rPr>
                <w:rFonts w:ascii="Calibri" w:eastAsia="Times New Roman" w:hAnsi="Calibri" w:cs="Calibri"/>
                <w:color w:val="000000"/>
                <w:lang w:eastAsia="fr-FR"/>
              </w:rPr>
              <w:t>donneur d’ordre</w:t>
            </w:r>
            <w:r w:rsidRPr="00915A4C">
              <w:rPr>
                <w:rFonts w:ascii="Calibri" w:eastAsia="Times New Roman" w:hAnsi="Calibri" w:cs="Calibri"/>
                <w:color w:val="000000"/>
                <w:lang w:eastAsia="fr-FR"/>
              </w:rPr>
              <w:t xml:space="preserve"> et le CA Fournisseur pour appréhender l'évolution du portefeuille de commande du fournisseur </w:t>
            </w:r>
          </w:p>
          <w:p w14:paraId="2A18686A" w14:textId="77777777" w:rsidR="000B243B" w:rsidRPr="00915A4C" w:rsidRDefault="000B243B" w:rsidP="000B243B">
            <w:pPr>
              <w:numPr>
                <w:ilvl w:val="0"/>
                <w:numId w:val="6"/>
              </w:numPr>
              <w:ind w:left="1800"/>
              <w:textAlignment w:val="center"/>
              <w:rPr>
                <w:rFonts w:ascii="Calibri" w:eastAsia="Times New Roman" w:hAnsi="Calibri" w:cs="Calibri"/>
                <w:color w:val="000000"/>
                <w:lang w:eastAsia="fr-FR"/>
              </w:rPr>
            </w:pPr>
            <w:r w:rsidRPr="00915A4C">
              <w:rPr>
                <w:rFonts w:ascii="Calibri" w:eastAsia="Times New Roman" w:hAnsi="Calibri" w:cs="Calibri"/>
                <w:color w:val="000000"/>
                <w:lang w:eastAsia="fr-FR"/>
              </w:rPr>
              <w:t xml:space="preserve">Quels que soient les indicateurs, les niveaux de seuil d'alerte seront déterminés à partir de problèmes réellement rencontrés par le passé </w:t>
            </w:r>
          </w:p>
          <w:p w14:paraId="056A6661" w14:textId="77777777" w:rsidR="000B243B" w:rsidRPr="00915A4C" w:rsidRDefault="000B243B" w:rsidP="000B243B">
            <w:pPr>
              <w:numPr>
                <w:ilvl w:val="0"/>
                <w:numId w:val="6"/>
              </w:numPr>
              <w:ind w:left="1800"/>
              <w:textAlignment w:val="center"/>
              <w:rPr>
                <w:rFonts w:ascii="Calibri" w:eastAsia="Times New Roman" w:hAnsi="Calibri" w:cs="Calibri"/>
                <w:color w:val="000000"/>
                <w:lang w:eastAsia="fr-FR"/>
              </w:rPr>
            </w:pPr>
            <w:r w:rsidRPr="00915A4C">
              <w:rPr>
                <w:rFonts w:ascii="Calibri" w:eastAsia="Times New Roman" w:hAnsi="Calibri" w:cs="Calibri"/>
                <w:color w:val="000000"/>
                <w:lang w:eastAsia="fr-FR"/>
              </w:rPr>
              <w:t xml:space="preserve">Compte tenu du nombre important de fournisseurs, le développement d'indicateurs sur la base des données de l'ERP ou </w:t>
            </w:r>
            <w:r>
              <w:rPr>
                <w:rFonts w:ascii="Calibri" w:eastAsia="Times New Roman" w:hAnsi="Calibri" w:cs="Calibri"/>
                <w:color w:val="000000"/>
                <w:lang w:eastAsia="fr-FR"/>
              </w:rPr>
              <w:t xml:space="preserve">des </w:t>
            </w:r>
            <w:r w:rsidRPr="00915A4C">
              <w:rPr>
                <w:rFonts w:ascii="Calibri" w:eastAsia="Times New Roman" w:hAnsi="Calibri" w:cs="Calibri"/>
                <w:color w:val="000000"/>
                <w:lang w:eastAsia="fr-FR"/>
              </w:rPr>
              <w:t xml:space="preserve">SI internes permettrait d'automatiser la détection de fournisseurs à surveiller. </w:t>
            </w:r>
          </w:p>
          <w:p w14:paraId="5DE64FBC" w14:textId="77777777" w:rsidR="000B243B" w:rsidRPr="00915A4C" w:rsidRDefault="000B243B" w:rsidP="000B243B">
            <w:pPr>
              <w:numPr>
                <w:ilvl w:val="0"/>
                <w:numId w:val="6"/>
              </w:numPr>
              <w:ind w:left="1800"/>
              <w:textAlignment w:val="center"/>
              <w:rPr>
                <w:rFonts w:ascii="Calibri" w:eastAsia="Times New Roman" w:hAnsi="Calibri" w:cs="Calibri"/>
                <w:color w:val="000000"/>
                <w:lang w:eastAsia="fr-FR"/>
              </w:rPr>
            </w:pPr>
            <w:r w:rsidRPr="00915A4C">
              <w:rPr>
                <w:rFonts w:ascii="Calibri" w:eastAsia="Times New Roman" w:hAnsi="Calibri" w:cs="Calibri"/>
                <w:color w:val="000000"/>
                <w:lang w:eastAsia="fr-FR"/>
              </w:rPr>
              <w:t>Il faut en dynamique déterminer les bons niveaux de seuil et de l'affectation de ressources pour monitorer régulièrement ces indicateurs et déclencher les actions adéquates</w:t>
            </w:r>
          </w:p>
          <w:p w14:paraId="678DB77C" w14:textId="77777777" w:rsidR="000B243B" w:rsidRDefault="000B243B" w:rsidP="000B243B">
            <w:pPr>
              <w:rPr>
                <w:rFonts w:ascii="Calibri" w:eastAsia="Times New Roman" w:hAnsi="Calibri" w:cs="Calibri"/>
                <w:color w:val="000000"/>
                <w:lang w:eastAsia="fr-FR"/>
              </w:rPr>
            </w:pPr>
            <w:r w:rsidRPr="00915A4C">
              <w:rPr>
                <w:rFonts w:ascii="Calibri" w:eastAsia="Times New Roman" w:hAnsi="Calibri" w:cs="Calibri"/>
                <w:b/>
                <w:bCs/>
                <w:color w:val="000000"/>
                <w:lang w:eastAsia="fr-FR"/>
              </w:rPr>
              <w:t>Dans un second temps, il faut compléter ces indicateurs par une veille informationnelle</w:t>
            </w:r>
            <w:r w:rsidRPr="00915A4C">
              <w:rPr>
                <w:rFonts w:ascii="Calibri" w:eastAsia="Times New Roman" w:hAnsi="Calibri" w:cs="Calibri"/>
                <w:color w:val="000000"/>
                <w:lang w:eastAsia="fr-FR"/>
              </w:rPr>
              <w:t>, basée sur des mots clés, à partir de données externes : c'est plus long à mettre en place mais cela permet de capter des signaux complémentaires.</w:t>
            </w:r>
          </w:p>
          <w:p w14:paraId="5576CA18" w14:textId="77777777" w:rsidR="000B243B" w:rsidRDefault="000B243B" w:rsidP="006827E7">
            <w:pPr>
              <w:spacing w:line="276" w:lineRule="auto"/>
            </w:pPr>
          </w:p>
        </w:tc>
      </w:tr>
    </w:tbl>
    <w:p w14:paraId="2FA0ED7A" w14:textId="77777777" w:rsidR="000B243B" w:rsidRPr="00B57E8F" w:rsidRDefault="000B243B" w:rsidP="000B243B">
      <w:pPr>
        <w:spacing w:after="0" w:line="240" w:lineRule="auto"/>
        <w:rPr>
          <w:rFonts w:ascii="Calibri" w:eastAsia="Times New Roman" w:hAnsi="Calibri" w:cs="Calibri"/>
          <w:color w:val="000000"/>
          <w:lang w:eastAsia="fr-FR"/>
        </w:rPr>
      </w:pPr>
    </w:p>
    <w:sectPr w:rsidR="000B243B" w:rsidRPr="00B57E8F" w:rsidSect="006B5E80">
      <w:pgSz w:w="11906" w:h="16838"/>
      <w:pgMar w:top="1134" w:right="1133"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870"/>
    <w:multiLevelType w:val="multilevel"/>
    <w:tmpl w:val="F7B8D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1996699"/>
    <w:multiLevelType w:val="multilevel"/>
    <w:tmpl w:val="7C5C593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9E139E"/>
    <w:multiLevelType w:val="multilevel"/>
    <w:tmpl w:val="96DCDA6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48A5247"/>
    <w:multiLevelType w:val="multilevel"/>
    <w:tmpl w:val="8A1CEC6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4F928F7"/>
    <w:multiLevelType w:val="multilevel"/>
    <w:tmpl w:val="9690BA2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F7D6FFD"/>
    <w:multiLevelType w:val="multilevel"/>
    <w:tmpl w:val="119E2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4E54B77"/>
    <w:multiLevelType w:val="multilevel"/>
    <w:tmpl w:val="D7FEE716"/>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20A62CD"/>
    <w:multiLevelType w:val="hybridMultilevel"/>
    <w:tmpl w:val="1D80071A"/>
    <w:lvl w:ilvl="0" w:tplc="04FCB512">
      <w:numFmt w:val="bullet"/>
      <w:lvlText w:val="-"/>
      <w:lvlJc w:val="left"/>
      <w:pPr>
        <w:ind w:left="2484" w:hanging="360"/>
      </w:pPr>
      <w:rPr>
        <w:rFonts w:ascii="Calibri" w:eastAsiaTheme="minorHAnsi" w:hAnsi="Calibri" w:cs="Calibr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8" w15:restartNumberingAfterBreak="0">
    <w:nsid w:val="6543133F"/>
    <w:multiLevelType w:val="hybridMultilevel"/>
    <w:tmpl w:val="135ACB64"/>
    <w:lvl w:ilvl="0" w:tplc="9D86A54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3D1E8A"/>
    <w:multiLevelType w:val="multilevel"/>
    <w:tmpl w:val="7C5C593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B782CB2"/>
    <w:multiLevelType w:val="multilevel"/>
    <w:tmpl w:val="D278E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E2A70E9"/>
    <w:multiLevelType w:val="multilevel"/>
    <w:tmpl w:val="DE70F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4"/>
  </w:num>
  <w:num w:numId="3">
    <w:abstractNumId w:val="2"/>
  </w:num>
  <w:num w:numId="4">
    <w:abstractNumId w:val="11"/>
  </w:num>
  <w:num w:numId="5">
    <w:abstractNumId w:val="10"/>
  </w:num>
  <w:num w:numId="6">
    <w:abstractNumId w:val="3"/>
  </w:num>
  <w:num w:numId="7">
    <w:abstractNumId w:val="5"/>
  </w:num>
  <w:num w:numId="8">
    <w:abstractNumId w:val="1"/>
  </w:num>
  <w:num w:numId="9">
    <w:abstractNumId w:val="9"/>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4C"/>
    <w:rsid w:val="00003731"/>
    <w:rsid w:val="00032F3F"/>
    <w:rsid w:val="00041577"/>
    <w:rsid w:val="000B243B"/>
    <w:rsid w:val="000D391B"/>
    <w:rsid w:val="00104028"/>
    <w:rsid w:val="00172237"/>
    <w:rsid w:val="00211CFD"/>
    <w:rsid w:val="0022635F"/>
    <w:rsid w:val="00240727"/>
    <w:rsid w:val="002F0229"/>
    <w:rsid w:val="0030427C"/>
    <w:rsid w:val="00360914"/>
    <w:rsid w:val="00400103"/>
    <w:rsid w:val="00435F2B"/>
    <w:rsid w:val="004F30D6"/>
    <w:rsid w:val="00506BF5"/>
    <w:rsid w:val="00552674"/>
    <w:rsid w:val="005628B8"/>
    <w:rsid w:val="00575852"/>
    <w:rsid w:val="00597DF4"/>
    <w:rsid w:val="00597FE4"/>
    <w:rsid w:val="005C7E5A"/>
    <w:rsid w:val="005D5CE6"/>
    <w:rsid w:val="006827E7"/>
    <w:rsid w:val="006B5E80"/>
    <w:rsid w:val="006B718D"/>
    <w:rsid w:val="00727DFD"/>
    <w:rsid w:val="00754624"/>
    <w:rsid w:val="00812988"/>
    <w:rsid w:val="00832605"/>
    <w:rsid w:val="008606B0"/>
    <w:rsid w:val="008A2C05"/>
    <w:rsid w:val="00915A4C"/>
    <w:rsid w:val="009B5A37"/>
    <w:rsid w:val="00B57E8F"/>
    <w:rsid w:val="00C55DD7"/>
    <w:rsid w:val="00CD7367"/>
    <w:rsid w:val="00DB4D6A"/>
    <w:rsid w:val="00E12853"/>
    <w:rsid w:val="00EE27E2"/>
    <w:rsid w:val="00EF4640"/>
    <w:rsid w:val="00F527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0A99"/>
  <w15:chartTrackingRefBased/>
  <w15:docId w15:val="{4F4EEB64-F5D1-448D-97EE-48B77623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128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E27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15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12853"/>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EE27E2"/>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812988"/>
    <w:pPr>
      <w:ind w:left="720"/>
      <w:contextualSpacing/>
    </w:pPr>
  </w:style>
  <w:style w:type="table" w:styleId="Grilledutableau">
    <w:name w:val="Table Grid"/>
    <w:basedOn w:val="TableauNormal"/>
    <w:uiPriority w:val="39"/>
    <w:rsid w:val="000B2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B243B"/>
    <w:rPr>
      <w:color w:val="0563C1" w:themeColor="hyperlink"/>
      <w:u w:val="single"/>
    </w:rPr>
  </w:style>
  <w:style w:type="character" w:styleId="Mentionnonrsolue">
    <w:name w:val="Unresolved Mention"/>
    <w:basedOn w:val="Policepardfaut"/>
    <w:uiPriority w:val="99"/>
    <w:semiHidden/>
    <w:unhideWhenUsed/>
    <w:rsid w:val="000B2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476263">
      <w:bodyDiv w:val="1"/>
      <w:marLeft w:val="0"/>
      <w:marRight w:val="0"/>
      <w:marTop w:val="0"/>
      <w:marBottom w:val="0"/>
      <w:divBdr>
        <w:top w:val="none" w:sz="0" w:space="0" w:color="auto"/>
        <w:left w:val="none" w:sz="0" w:space="0" w:color="auto"/>
        <w:bottom w:val="none" w:sz="0" w:space="0" w:color="auto"/>
        <w:right w:val="none" w:sz="0" w:space="0" w:color="auto"/>
      </w:divBdr>
    </w:div>
    <w:div w:id="1395160809">
      <w:bodyDiv w:val="1"/>
      <w:marLeft w:val="0"/>
      <w:marRight w:val="0"/>
      <w:marTop w:val="0"/>
      <w:marBottom w:val="0"/>
      <w:divBdr>
        <w:top w:val="none" w:sz="0" w:space="0" w:color="auto"/>
        <w:left w:val="none" w:sz="0" w:space="0" w:color="auto"/>
        <w:bottom w:val="none" w:sz="0" w:space="0" w:color="auto"/>
        <w:right w:val="none" w:sz="0" w:space="0" w:color="auto"/>
      </w:divBdr>
    </w:div>
    <w:div w:id="1474785741">
      <w:bodyDiv w:val="1"/>
      <w:marLeft w:val="0"/>
      <w:marRight w:val="0"/>
      <w:marTop w:val="0"/>
      <w:marBottom w:val="0"/>
      <w:divBdr>
        <w:top w:val="none" w:sz="0" w:space="0" w:color="auto"/>
        <w:left w:val="none" w:sz="0" w:space="0" w:color="auto"/>
        <w:bottom w:val="none" w:sz="0" w:space="0" w:color="auto"/>
        <w:right w:val="none" w:sz="0" w:space="0" w:color="auto"/>
      </w:divBdr>
      <w:divsChild>
        <w:div w:id="1351371100">
          <w:marLeft w:val="0"/>
          <w:marRight w:val="0"/>
          <w:marTop w:val="0"/>
          <w:marBottom w:val="0"/>
          <w:divBdr>
            <w:top w:val="none" w:sz="0" w:space="0" w:color="auto"/>
            <w:left w:val="none" w:sz="0" w:space="0" w:color="auto"/>
            <w:bottom w:val="none" w:sz="0" w:space="0" w:color="auto"/>
            <w:right w:val="none" w:sz="0" w:space="0" w:color="auto"/>
          </w:divBdr>
        </w:div>
        <w:div w:id="1744523072">
          <w:marLeft w:val="0"/>
          <w:marRight w:val="0"/>
          <w:marTop w:val="0"/>
          <w:marBottom w:val="0"/>
          <w:divBdr>
            <w:top w:val="none" w:sz="0" w:space="0" w:color="auto"/>
            <w:left w:val="none" w:sz="0" w:space="0" w:color="auto"/>
            <w:bottom w:val="none" w:sz="0" w:space="0" w:color="auto"/>
            <w:right w:val="none" w:sz="0" w:space="0" w:color="auto"/>
          </w:divBdr>
        </w:div>
        <w:div w:id="1675565888">
          <w:marLeft w:val="0"/>
          <w:marRight w:val="0"/>
          <w:marTop w:val="0"/>
          <w:marBottom w:val="0"/>
          <w:divBdr>
            <w:top w:val="none" w:sz="0" w:space="0" w:color="auto"/>
            <w:left w:val="none" w:sz="0" w:space="0" w:color="auto"/>
            <w:bottom w:val="none" w:sz="0" w:space="0" w:color="auto"/>
            <w:right w:val="none" w:sz="0" w:space="0" w:color="auto"/>
          </w:divBdr>
        </w:div>
        <w:div w:id="1988431105">
          <w:marLeft w:val="0"/>
          <w:marRight w:val="0"/>
          <w:marTop w:val="0"/>
          <w:marBottom w:val="0"/>
          <w:divBdr>
            <w:top w:val="none" w:sz="0" w:space="0" w:color="auto"/>
            <w:left w:val="none" w:sz="0" w:space="0" w:color="auto"/>
            <w:bottom w:val="none" w:sz="0" w:space="0" w:color="auto"/>
            <w:right w:val="none" w:sz="0" w:space="0" w:color="auto"/>
          </w:divBdr>
        </w:div>
        <w:div w:id="1517424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axoma-consultants.com/nous-contacter/" TargetMode="Externa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997</Words>
  <Characters>5488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LEROY</dc:creator>
  <cp:keywords/>
  <dc:description/>
  <cp:lastModifiedBy>Colombier Aurélie</cp:lastModifiedBy>
  <cp:revision>3</cp:revision>
  <dcterms:created xsi:type="dcterms:W3CDTF">2021-04-26T13:07:00Z</dcterms:created>
  <dcterms:modified xsi:type="dcterms:W3CDTF">2021-04-26T13:09:00Z</dcterms:modified>
</cp:coreProperties>
</file>